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88"/>
        <w:jc w:val="left"/>
        <w:rPr>
          <w:rFonts w:ascii="Arial" w:hAnsi="Arial" w:cs="Arial"/>
          <w:b w:val="1"/>
          <w:bCs w:val="1"/>
          <w:color w:val="000000"/>
          <w:sz w:val="32"/>
          <w:szCs w:val="32"/>
        </w:rPr>
      </w:pPr>
      <w:r>
        <w:rPr>
          <w:rFonts w:ascii="Arial" w:hAnsi="Arial" w:cs="Arial"/>
          <w:b w:val="1"/>
          <w:bCs w:val="1"/>
          <w:color w:val="000000"/>
          <w:sz w:val="32"/>
          <w:szCs w:val="32"/>
        </w:rPr>
        <w:t>Gut vorbereitet in die Dusch-WC-Beratung</w:t>
      </w:r>
    </w:p>
    <w:tbl>
      <w:tblPr>
        <w:tblStyle w:val="T1"/>
        <w:tblW w:w="5000" w:type="pct"/>
        <w:jc w:val="left"/>
        <w:tblLayout w:type="fixed"/>
        <w:tblCellMar>
          <w:top w:w="0" w:type="dxa"/>
          <w:left w:w="0" w:type="dxa"/>
          <w:bottom w:w="0" w:type="dxa"/>
          <w:right w:w="227" w:type="dxa"/>
        </w:tblCellMar>
        <w:tblLook w:val="04A0"/>
      </w:tblPr>
      <w:tblGrid>
        <w:gridCol w:w="2736"/>
        <w:gridCol w:w="2736"/>
        <w:gridCol w:w="1728"/>
      </w:tblGrid>
      <w:tr>
        <w:tc>
          <w:tcPr>
            <w:tcW w:w="3800" w:type="pct"/>
            <w:gridSpan w:val="2"/>
            <w:tcBorders>
              <w:top w:val="nil"/>
              <w:left w:val="nil"/>
              <w:bottom w:val="nil"/>
              <w:right w:val="nil"/>
            </w:tcBorders>
            <w:shd w:val="clear" w:color="auto" w:fill="auto"/>
            <w:tcMar>
              <w:top w:w="0" w:type="dxa"/>
              <w:left w:w="0" w:type="dxa"/>
              <w:bottom w:w="0" w:type="dxa"/>
              <w:right w:w="227" w:type="dxa"/>
            </w:tcMar>
          </w:tcPr>
          <w:p>
            <w:pPr>
              <w:spacing w:lineRule="auto" w:line="288" w:before="0"/>
              <w:ind w:firstLine="0"/>
              <w:jc w:val="left"/>
              <w:rPr>
                <w:rFonts w:ascii="Arial" w:hAnsi="Arial" w:cs="Arial"/>
                <w:color w:val="000000"/>
                <w:sz w:val="22"/>
                <w:szCs w:val="22"/>
              </w:rPr>
            </w:pPr>
            <w:r>
              <w:rPr>
                <w:rFonts w:ascii="Arial" w:hAnsi="Arial" w:cs="Arial" w:eastAsia="Arial"/>
                <w:color w:val="000000"/>
                <w:sz w:val="22"/>
                <w:szCs w:val="22"/>
              </w:rPr>
              <w:t>Neuer Online-Ratgeber von TOTO vermittelt Endkunden Grundlagen und schafft eine gemeinsame Wissensbasis für das Beratungsgespräch im SHK-Fachbetrieb.</w:t>
            </w:r>
          </w:p>
        </w:tc>
        <w:tc>
          <w:tcPr>
            <w:tcW w:w="1200" w:type="pct"/>
            <w:tcBorders>
              <w:top w:val="nil"/>
              <w:left w:val="nil"/>
              <w:bottom w:val="nil"/>
              <w:right w:val="nil"/>
            </w:tcBorders>
            <w:shd w:val="clear" w:color="auto" w:fill="auto"/>
            <w:tcMar>
              <w:top w:w="0" w:type="dxa"/>
              <w:left w:w="0" w:type="dxa"/>
              <w:bottom w:w="0" w:type="dxa"/>
              <w:right w:w="227" w:type="dxa"/>
            </w:tcMar>
          </w:tcPr>
          <w:p>
            <w:pPr>
              <w:spacing w:lineRule="auto" w:line="288" w:before="0"/>
              <w:ind w:firstLine="0"/>
              <w:jc w:val="left"/>
              <w:rPr>
                <w:rFonts w:ascii="Arial" w:hAnsi="Arial" w:cs="Arial"/>
                <w:color w:val="000000"/>
                <w:sz w:val="22"/>
                <w:szCs w:val="22"/>
              </w:rPr>
            </w:pPr>
          </w:p>
        </w:tc>
      </w:tr>
      <w:tr>
        <w:tblPrEx>
          <w:tblLook w:val="04A0"/>
        </w:tblPrEx>
        <w:trPr>
          <w:gridAfter w:val="1"/>
        </w:trPr>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ind w:firstLine="0"/>
              <w:jc w:val="left"/>
              <w:rPr>
                <w:rFonts w:ascii="Arial" w:hAnsi="Arial" w:cs="Arial"/>
                <w:color w:val="000000"/>
                <w:sz w:val="22"/>
                <w:szCs w:val="22"/>
              </w:rPr>
            </w:pPr>
          </w:p>
        </w:tc>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ind w:firstLine="0"/>
              <w:jc w:val="left"/>
              <w:rPr>
                <w:rFonts w:ascii="Arial" w:hAnsi="Arial" w:cs="Arial"/>
                <w:color w:val="000000"/>
                <w:sz w:val="22"/>
                <w:szCs w:val="22"/>
              </w:rPr>
            </w:pPr>
          </w:p>
        </w:tc>
      </w:tr>
    </w:tbl>
    <w:p>
      <w:pPr>
        <w:spacing w:lineRule="auto" w:line="288"/>
        <w:jc w:val="left"/>
        <w:rPr>
          <w:rFonts w:ascii="Arial" w:hAnsi="Arial" w:cs="Arial"/>
          <w:color w:val="000000"/>
          <w:sz w:val="8"/>
          <w:szCs w:val="8"/>
        </w:rPr>
      </w:pPr>
      <w:r>
        <w:rPr>
          <w:rFonts w:ascii="Arial" w:hAnsi="Arial" w:cs="Arial"/>
          <w:color w:val="000000"/>
          <w:sz w:val="8"/>
          <w:szCs w:val="8"/>
        </w:rPr>
        <w:br w:type="textWrapping"/>
      </w:r>
    </w:p>
    <w:tbl>
      <w:tblPr>
        <w:tblStyle w:val="T1"/>
        <w:tblW w:w="5000" w:type="pct"/>
        <w:jc w:val="center"/>
        <w:tblLayout w:type="fixed"/>
        <w:tblCellMar>
          <w:top w:w="0" w:type="dxa"/>
          <w:left w:w="0" w:type="dxa"/>
          <w:bottom w:w="0" w:type="dxa"/>
          <w:right w:w="227" w:type="dxa"/>
        </w:tblCellMar>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18"/>
                <w:szCs w:val="18"/>
              </w:rPr>
            </w:pPr>
            <w:r>
              <w:rPr>
                <w:rFonts w:ascii="Arial" w:hAnsi="Arial" w:cs="Arial"/>
                <w:color w:val="000000"/>
                <w:sz w:val="18"/>
                <w:szCs w:val="18"/>
              </w:rPr>
              <w:drawing>
                <wp:inline xmlns:wp="http://schemas.openxmlformats.org/drawingml/2006/wordprocessingDrawing"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3995420" cy="2663825"/>
                          </a:xfrm>
                          <a:prstGeom prst="rect"/>
                        </pic:spPr>
                      </pic:pic>
                    </a:graphicData>
                  </a:graphic>
                </wp:inline>
              </w:drawing>
            </w:r>
          </w:p>
        </w:tc>
      </w:tr>
    </w:tbl>
    <w:p>
      <w:pPr>
        <w:spacing w:lineRule="auto" w:line="288"/>
        <w:jc w:val="left"/>
        <w:rPr>
          <w:rFonts w:ascii="Arial" w:hAnsi="Arial" w:cs="Arial"/>
          <w:color w:val="000000"/>
          <w:sz w:val="8"/>
          <w:szCs w:val="8"/>
        </w:rPr>
      </w:pPr>
      <w:r>
        <w:rPr>
          <w:rFonts w:ascii="Arial" w:hAnsi="Arial" w:cs="Arial"/>
          <w:color w:val="000000"/>
          <w:sz w:val="8"/>
          <w:szCs w:val="8"/>
        </w:rPr>
        <w:br w:type="textWrapping"/>
      </w:r>
    </w:p>
    <w:tbl>
      <w:tblPr>
        <w:tblStyle w:val="T1"/>
        <w:tblW w:w="5000" w:type="pct"/>
        <w:jc w:val="left"/>
        <w:tblLayout w:type="fixed"/>
        <w:tblCellMar>
          <w:top w:w="0" w:type="dxa"/>
          <w:left w:w="0" w:type="dxa"/>
          <w:bottom w:w="0" w:type="dxa"/>
          <w:right w:w="227" w:type="dxa"/>
        </w:tblCellMar>
        <w:tblLook w:val="04A0"/>
      </w:tblPr>
      <w:tblGrid>
        <w:gridCol w:w="5472"/>
        <w:gridCol w:w="1728"/>
      </w:tblGrid>
      <w:tr>
        <w:tc>
          <w:tcPr>
            <w:tcW w:w="3800" w:type="pct"/>
            <w:tcBorders>
              <w:top w:val="nil"/>
              <w:left w:val="nil"/>
              <w:bottom w:val="nil"/>
              <w:right w:val="nil"/>
            </w:tcBorders>
            <w:shd w:val="clear" w:color="auto" w:fill="auto"/>
            <w:tcMar>
              <w:top w:w="0" w:type="dxa"/>
              <w:left w:w="0" w:type="dxa"/>
              <w:bottom w:w="0" w:type="dxa"/>
              <w:right w:w="227" w:type="dxa"/>
            </w:tcMar>
          </w:tcPr>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Dusch-WCs gehören längst zu den gefragten Ausstattungsmerkmalen moderner Badezimmer. Entsprechend möchten sich viele Menschen mit einem Bau- oder Modernisierungsvorhaben bereits vor dem Besuch im Badstudio oder SHK-Fachbetrieb über Funktionen, Ausstattungsmerkmale und technische Voraussetzungen informieren. Mit dem neuen Online-Ratgeber bietet TOTO hierfür eine fundierte Orientierung. Fachbetriebe können den Ratgeber als ergänzende Informationsquelle nutzen und ihren Kunden den Link vor oder nach einem Beratungsgespräch zur Verfügung stellen. So kommen Kunden gut vorbereitet in die Beratung, und individuelle Fragen lassen sich gezielt und effizient besprechen.</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 xml:space="preserve">Unter </w:t>
            </w:r>
            <w:hyperlink r:id="R2">
              <w:r>
                <w:rPr>
                  <w:rStyle w:val="C2"/>
                  <w:rFonts w:ascii="Arial" w:hAnsi="Arial" w:cs="Arial"/>
                  <w:color w:val="000000"/>
                  <w:sz w:val="20"/>
                  <w:szCs w:val="20"/>
                </w:rPr>
                <w:t>https://eu.toto.com/de/service/dusch-wc-ratgeber</w:t>
              </w:r>
            </w:hyperlink>
            <w:r>
              <w:rPr>
                <w:rFonts w:ascii="Arial" w:hAnsi="Arial" w:cs="Arial"/>
                <w:color w:val="000000"/>
                <w:sz w:val="20"/>
                <w:szCs w:val="20"/>
              </w:rPr>
              <w:t xml:space="preserve"> bündelt TOTO die wichtigsten Informationen rund um das Dusch-WC, welches das Unternehmen unter dem Markennamen WASHLET führt. Der Ratgeber erläutert die Funktionsweise, die Vorteile der Reinigung mit frischem, warmem Wasser sowie unterschiedliche Ausstattungs- und Einbaumöglichkeiten. Darüber hinaus erfahren Interessierte, worauf sie bei der Auswahl eines Dusch-WCs achten sollten und welche Lösungen sich für unterschiedliche Einbausituationen eignen.  </w:t>
            </w:r>
          </w:p>
          <w:p>
            <w:pPr>
              <w:spacing w:lineRule="auto" w:line="288" w:before="0" w:after="240"/>
              <w:ind w:firstLine="0" w:left="0" w:right="0"/>
              <w:jc w:val="left"/>
              <w:rPr>
                <w:rFonts w:ascii="Arial" w:hAnsi="Arial" w:cs="Arial"/>
                <w:color w:val="000000"/>
                <w:sz w:val="20"/>
                <w:szCs w:val="20"/>
              </w:rPr>
            </w:pPr>
            <w:r>
              <w:rPr>
                <w:rFonts w:ascii="Arial" w:hAnsi="Arial" w:cs="Arial"/>
                <w:b w:val="1"/>
                <w:bCs w:val="1"/>
                <w:color w:val="000000"/>
                <w:sz w:val="20"/>
                <w:szCs w:val="20"/>
              </w:rPr>
              <w:t>Wenn Kunden langfristig planen – Ratgeber informiert über Upgrade  </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Nicht jedes Bau- oder Modernisierungsvorhaben umfasst von Anfang an ein Dusch-WC. Häufig besteht jedoch der Wunsch, das Badezimmer so zu planen, dass eine Nachrüstung später problemlos möglich ist. Auch bei diesem Thema erfahren die Kunden über den Ratgeber alles Wissenswerte und können das Thema im Beratungsgespräch vertiefen. Mit Lösungen wie dem FlexCover-System von TOTO lassen sich die erforderlichen Anschlüsse bereits während der Badplanung integrieren. Auf diese Weise kann ein Dusch-WC auch zu einem späteren Zeitpunkt ohne größeren baulichen Aufwand installiert werden.</w:t>
            </w:r>
          </w:p>
          <w:p>
            <w:pPr>
              <w:spacing w:lineRule="auto" w:line="288" w:before="0" w:after="240"/>
              <w:ind w:firstLine="0" w:left="0" w:right="0"/>
              <w:jc w:val="left"/>
              <w:rPr>
                <w:rFonts w:ascii="Arial" w:hAnsi="Arial" w:cs="Arial"/>
                <w:color w:val="000000"/>
                <w:sz w:val="20"/>
                <w:szCs w:val="20"/>
              </w:rPr>
            </w:pPr>
            <w:r>
              <w:rPr>
                <w:rFonts w:ascii="Arial" w:hAnsi="Arial" w:cs="Arial"/>
                <w:b w:val="1"/>
                <w:bCs w:val="1"/>
                <w:color w:val="000000"/>
                <w:sz w:val="20"/>
                <w:szCs w:val="20"/>
              </w:rPr>
              <w:br w:type="textWrapping"/>
              <w:t>Der Dusch-WC-Ratgeber von TOTO ist verfügbar unter: </w:t>
            </w:r>
          </w:p>
          <w:p>
            <w:pPr>
              <w:spacing w:lineRule="auto" w:line="288" w:before="0" w:after="240"/>
              <w:ind w:firstLine="0" w:left="0" w:right="0"/>
              <w:jc w:val="left"/>
              <w:rPr>
                <w:rFonts w:ascii="Arial" w:hAnsi="Arial" w:cs="Arial"/>
                <w:color w:val="000000"/>
                <w:sz w:val="20"/>
                <w:szCs w:val="20"/>
              </w:rPr>
            </w:pPr>
            <w:hyperlink r:id="R3">
              <w:r>
                <w:rPr>
                  <w:rStyle w:val="C2"/>
                  <w:rFonts w:ascii="Arial" w:hAnsi="Arial" w:cs="Arial"/>
                  <w:color w:val="000000"/>
                  <w:sz w:val="20"/>
                  <w:szCs w:val="20"/>
                </w:rPr>
                <w:t>https://eu.toto.com/de/service/dusch-wc-ratgeber</w:t>
              </w:r>
            </w:hyperlink>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Düsseldorf, Juli 2026</w:t>
              <w:br w:type="textWrapping"/>
              <w:t>Abdruck honorarfrei / Beleg erbeten</w:t>
            </w:r>
          </w:p>
          <w:p>
            <w:pPr>
              <w:spacing w:lineRule="auto" w:line="288" w:before="0"/>
              <w:ind w:firstLine="0"/>
              <w:jc w:val="left"/>
              <w:rPr>
                <w:rFonts w:ascii="Arial" w:hAnsi="Arial" w:cs="Arial"/>
                <w:color w:val="000000"/>
                <w:sz w:val="20"/>
                <w:szCs w:val="20"/>
              </w:rPr>
            </w:pPr>
            <w:r>
              <w:rPr>
                <w:rFonts w:ascii="Arial" w:hAnsi="Arial" w:cs="Arial"/>
                <w:color w:val="000000"/>
                <w:sz w:val="20"/>
                <w:szCs w:val="20"/>
              </w:rPr>
              <w:t> </w:t>
            </w:r>
          </w:p>
        </w:tc>
        <w:tc>
          <w:tcPr>
            <w:tcW w:w="1200" w:type="pct"/>
            <w:tcBorders>
              <w:top w:val="nil"/>
              <w:left w:val="nil"/>
              <w:bottom w:val="nil"/>
              <w:right w:val="nil"/>
            </w:tcBorders>
            <w:shd w:val="clear" w:color="auto" w:fill="auto"/>
            <w:tcMar>
              <w:top w:w="0" w:type="dxa"/>
              <w:left w:w="0" w:type="dxa"/>
              <w:bottom w:w="0" w:type="dxa"/>
              <w:right w:w="227" w:type="dxa"/>
            </w:tcMar>
          </w:tcPr>
          <w:p>
            <w:pPr>
              <w:spacing w:lineRule="auto" w:line="288" w:before="0" w:after="240"/>
              <w:ind w:firstLine="0" w:left="0" w:right="0"/>
              <w:jc w:val="left"/>
              <w:rPr>
                <w:rFonts w:ascii="Arial" w:hAnsi="Arial" w:cs="Arial"/>
                <w:color w:val="000000"/>
                <w:sz w:val="20"/>
                <w:szCs w:val="20"/>
              </w:rPr>
            </w:pPr>
            <w:r>
              <w:rPr>
                <w:rFonts w:ascii="Arial" w:hAnsi="Arial" w:cs="Arial"/>
                <w:b w:val="1"/>
                <w:bCs w:val="1"/>
                <w:color w:val="000000"/>
                <w:sz w:val="20"/>
                <w:szCs w:val="20"/>
              </w:rPr>
              <w:t>Ansprechpartnerin für die Presse:</w:t>
              <w:br w:type="textWrapping"/>
            </w:r>
            <w:r>
              <w:rPr>
                <w:rFonts w:ascii="Arial" w:hAnsi="Arial" w:cs="Arial"/>
                <w:color w:val="000000"/>
                <w:sz w:val="20"/>
                <w:szCs w:val="20"/>
              </w:rPr>
              <w:t>bering*kopal GbR, Büro für Kommunikation</w:t>
              <w:br w:type="textWrapping"/>
              <w:t>Heike Bering</w:t>
              <w:br w:type="textWrapping"/>
              <w:t>Tel. +49 (0)711 7451 759 15</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heike.bering@</w:t>
              <w:br w:type="textWrapping"/>
              <w:t>bering-kopal.de</w:t>
            </w:r>
          </w:p>
          <w:p>
            <w:pPr>
              <w:spacing w:lineRule="auto" w:line="288" w:before="0" w:after="240"/>
              <w:ind w:firstLine="0" w:left="0" w:right="0"/>
              <w:jc w:val="left"/>
              <w:rPr>
                <w:rFonts w:ascii="Arial" w:hAnsi="Arial" w:cs="Arial"/>
                <w:color w:val="000000"/>
                <w:sz w:val="20"/>
                <w:szCs w:val="20"/>
              </w:rPr>
            </w:pPr>
            <w:r>
              <w:rPr>
                <w:rFonts w:ascii="Arial" w:hAnsi="Arial" w:cs="Arial"/>
                <w:b w:val="1"/>
                <w:bCs w:val="1"/>
                <w:color w:val="000000"/>
                <w:sz w:val="20"/>
                <w:szCs w:val="20"/>
              </w:rPr>
              <w:t>Ansprechpartnerin im Unternehmen:</w:t>
              <w:br w:type="textWrapping"/>
            </w:r>
            <w:r>
              <w:rPr>
                <w:rFonts w:ascii="Arial" w:hAnsi="Arial" w:cs="Arial"/>
                <w:color w:val="000000"/>
                <w:sz w:val="20"/>
                <w:szCs w:val="20"/>
              </w:rPr>
              <w:t>Anja Giersiepen</w:t>
              <w:br w:type="textWrapping"/>
              <w:t>anja.giersiepen@</w:t>
              <w:br w:type="textWrapping"/>
              <w:t>toto.com</w:t>
            </w:r>
          </w:p>
          <w:p>
            <w:pPr>
              <w:spacing w:lineRule="auto" w:line="288" w:before="0"/>
              <w:ind w:firstLine="0"/>
              <w:jc w:val="left"/>
              <w:rPr>
                <w:rFonts w:ascii="Arial" w:hAnsi="Arial" w:cs="Arial"/>
                <w:color w:val="000000"/>
                <w:sz w:val="20"/>
                <w:szCs w:val="20"/>
              </w:rPr>
            </w:pPr>
            <w:r>
              <w:rPr>
                <w:rFonts w:ascii="Arial" w:hAnsi="Arial" w:cs="Arial"/>
                <w:color w:val="000000"/>
                <w:sz w:val="20"/>
                <w:szCs w:val="20"/>
              </w:rPr>
              <w:t>TOTO im Internet:</w:t>
              <w:br w:type="textWrapping"/>
            </w:r>
            <w:hyperlink r:id="R4">
              <w:r>
                <w:rPr>
                  <w:rStyle w:val="C2"/>
                  <w:rFonts w:ascii="Arial" w:hAnsi="Arial" w:cs="Arial"/>
                  <w:color w:val="000000"/>
                  <w:sz w:val="20"/>
                  <w:szCs w:val="20"/>
                </w:rPr>
                <w:t>eu.toto.com/de</w:t>
              </w:r>
            </w:hyperlink>
          </w:p>
        </w:tc>
      </w:tr>
    </w:tbl>
    <w:p>
      <w:pPr>
        <w:spacing w:lineRule="auto" w:line="288"/>
        <w:jc w:val="left"/>
      </w:pPr>
      <w:r>
        <w:br w:type="page"/>
      </w:r>
    </w:p>
    <w:p>
      <w:pPr>
        <w:spacing w:lineRule="auto" w:line="288"/>
        <w:jc w:val="left"/>
        <w:rPr>
          <w:rFonts w:ascii="Arial" w:hAnsi="Arial" w:cs="Arial"/>
          <w:color w:val="000000"/>
          <w:sz w:val="17"/>
          <w:szCs w:val="17"/>
        </w:rPr>
      </w:pPr>
      <w:r>
        <w:rPr>
          <w:rFonts w:ascii="Arial" w:hAnsi="Arial" w:cs="Arial"/>
          <w:b w:val="1"/>
          <w:bCs w:val="1"/>
          <w:color w:val="000000"/>
          <w:sz w:val="17"/>
          <w:szCs w:val="17"/>
        </w:rPr>
        <w:t>1</w:t>
      </w:r>
      <w:r>
        <w:rPr>
          <w:rFonts w:ascii="Arial" w:hAnsi="Arial" w:cs="Arial"/>
          <w:color w:val="000000"/>
          <w:sz w:val="17"/>
          <w:szCs w:val="17"/>
        </w:rPr>
        <w:t xml:space="preserve"> Wenn die Entscheidung für ein Dusch-WC ansteht, braucht die Kundschaft meistens eine intensive Beratung. Der Dusch-WC-Ratgeber von TOTO https://eu.toto.com/de/service/dusch-wc-ratgeber unterstützt dabei, Menschen mit einem Bau- und Modernisierungsvorhaben grundlegendes Wissen rund um das Dusch-WC zu vermitteln. Die individuelle Einrichtung und Einweisung erfolgt anschließend durch den SHK-Fachbetrieb und geht weit über die Inhalte des Ratgebers hinaus. Foto: TOTO</w:t>
        <w:br w:type="textWrapping"/>
      </w:r>
    </w:p>
    <w:p>
      <w:pPr>
        <w:spacing w:lineRule="auto" w:line="288"/>
        <w:jc w:val="left"/>
        <w:rPr>
          <w:rFonts w:ascii="Arial" w:hAnsi="Arial" w:cs="Arial"/>
          <w:color w:val="000000"/>
          <w:sz w:val="17"/>
          <w:szCs w:val="17"/>
        </w:rPr>
      </w:pPr>
      <w:r>
        <w:rPr>
          <w:rFonts w:ascii="Arial" w:hAnsi="Arial" w:cs="Arial"/>
          <w:b w:val="1"/>
          <w:bCs w:val="1"/>
          <w:color w:val="000000"/>
          <w:sz w:val="17"/>
          <w:szCs w:val="17"/>
        </w:rPr>
        <w:t>2</w:t>
      </w:r>
      <w:r>
        <w:rPr>
          <w:rFonts w:ascii="Arial" w:hAnsi="Arial" w:cs="Arial"/>
          <w:color w:val="000000"/>
          <w:sz w:val="17"/>
          <w:szCs w:val="17"/>
        </w:rPr>
        <w:t xml:space="preserve"> Die fachgerechte Einrichtung und Einweisung in die Funktionen eines Dusch-WCs schließt den Beratungsprozess ab. Foto: TOTO</w:t>
        <w:br w:type="textWrapping"/>
      </w:r>
    </w:p>
    <w:p>
      <w:pPr>
        <w:spacing w:lineRule="auto" w:line="288"/>
        <w:jc w:val="left"/>
        <w:rPr>
          <w:rFonts w:ascii="Arial" w:hAnsi="Arial" w:cs="Arial"/>
          <w:color w:val="000000"/>
          <w:sz w:val="17"/>
          <w:szCs w:val="17"/>
        </w:rPr>
      </w:pPr>
      <w:r>
        <w:rPr>
          <w:rFonts w:ascii="Arial" w:hAnsi="Arial" w:cs="Arial"/>
          <w:b w:val="1"/>
          <w:bCs w:val="1"/>
          <w:color w:val="000000"/>
          <w:sz w:val="17"/>
          <w:szCs w:val="17"/>
        </w:rPr>
        <w:t>3</w:t>
      </w:r>
      <w:r>
        <w:rPr>
          <w:rFonts w:ascii="Arial" w:hAnsi="Arial" w:cs="Arial"/>
          <w:color w:val="000000"/>
          <w:sz w:val="17"/>
          <w:szCs w:val="17"/>
        </w:rPr>
        <w:t xml:space="preserve"> Wenn die Kundschaft über ein Dusch-WC nachdenkt, aber heute noch keins installieren möchte: In aller Kürze erläutert ein Flyer das Upgrade vom WC zum Dusch-WC. Ein unkompliziertes Medium für Sanitärfachbetriebe, um das Wissen im Beratungsprozess kompakt und auf einen Blick zur Verfügung zu haben. Foto: TOTO</w:t>
        <w:br w:type="textWrapping"/>
      </w:r>
      <w:r>
        <w:rPr>
          <w:rFonts w:ascii="Arial" w:hAnsi="Arial" w:cs="Arial"/>
          <w:color w:val="000000"/>
          <w:sz w:val="17"/>
          <w:szCs w:val="17"/>
        </w:rPr>
        <w:br w:type="textWrapping"/>
      </w:r>
      <w:r>
        <w:rPr>
          <w:rFonts w:ascii="Arial" w:hAnsi="Arial" w:cs="Arial"/>
          <w:color w:val="000000"/>
          <w:sz w:val="17"/>
          <w:szCs w:val="17"/>
        </w:rPr>
        <w:br w:type="textWrapping"/>
      </w:r>
    </w:p>
    <w:tbl>
      <w:tblPr>
        <w:tblStyle w:val="T1"/>
        <w:tblW w:w="5000" w:type="pct"/>
        <w:jc w:val="left"/>
        <w:tblLayout w:type="fixed"/>
        <w:tblCellMar>
          <w:top w:w="0" w:type="dxa"/>
          <w:left w:w="0" w:type="dxa"/>
          <w:bottom w:w="0" w:type="dxa"/>
          <w:right w:w="0" w:type="dxa"/>
        </w:tblCellMar>
        <w:tblLook w:val="04A0"/>
      </w:tblPr>
      <w:tblGrid>
        <w:gridCol w:w="3519"/>
        <w:gridCol w:w="161"/>
        <w:gridCol w:w="3520"/>
      </w:tblGrid>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2.</w:t>
            </w: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95656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2"/>
                          <a:srcRect/>
                          <a:stretch>
                            <a:fillRect/>
                          </a:stretch>
                        </pic:blipFill>
                        <pic:spPr>
                          <a:xfrm>
                            <a:off x="0" y="0"/>
                            <a:ext cx="2956560"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302323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xmlns:r="http://schemas.openxmlformats.org/officeDocument/2006/relationships" r:embed="Relimage3"/>
                          <a:srcRect/>
                          <a:stretch>
                            <a:fillRect/>
                          </a:stretch>
                        </pic:blipFill>
                        <pic:spPr>
                          <a:xfrm>
                            <a:off x="0" y="0"/>
                            <a:ext cx="3023235" cy="2014220"/>
                          </a:xfrm>
                          <a:prstGeom prst="rect"/>
                        </pic:spPr>
                      </pic:pic>
                    </a:graphicData>
                  </a:graphic>
                </wp:inline>
              </w:drawing>
            </w: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95338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xmlns:r="http://schemas.openxmlformats.org/officeDocument/2006/relationships" r:embed="Relimage4"/>
                          <a:srcRect/>
                          <a:stretch>
                            <a:fillRect/>
                          </a:stretch>
                        </pic:blipFill>
                        <pic:spPr>
                          <a:xfrm>
                            <a:off x="0" y="0"/>
                            <a:ext cx="2953385"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7"/>
                <w:szCs w:val="17"/>
              </w:rPr>
            </w:pPr>
          </w:p>
        </w:tc>
      </w:tr>
    </w:tbl>
    <w:p>
      <w:pPr>
        <w:spacing w:lineRule="auto" w:line="288"/>
        <w:jc w:val="left"/>
      </w:pPr>
      <w:r>
        <w:br w:type="page"/>
      </w:r>
    </w:p>
    <w:tbl>
      <w:tblPr>
        <w:tblStyle w:val="T1"/>
        <w:tblW w:w="5000" w:type="pct"/>
        <w:jc w:val="left"/>
        <w:tblLayout w:type="fixed"/>
        <w:tblCellMar>
          <w:top w:w="0" w:type="dxa"/>
          <w:left w:w="0" w:type="dxa"/>
          <w:bottom w:w="0" w:type="dxa"/>
          <w:right w:w="227" w:type="dxa"/>
        </w:tblCellMar>
        <w:tblLook w:val="04A0"/>
      </w:tblPr>
      <w:tblGrid>
        <w:gridCol w:w="2736"/>
        <w:gridCol w:w="2736"/>
        <w:gridCol w:w="1728"/>
      </w:tblGrid>
      <w:tr>
        <w:tc>
          <w:tcPr>
            <w:tcW w:w="3800" w:type="pct"/>
            <w:gridSpan w:val="2"/>
            <w:tcBorders>
              <w:top w:val="nil"/>
              <w:left w:val="nil"/>
              <w:bottom w:val="nil"/>
              <w:right w:val="nil"/>
            </w:tcBorders>
            <w:shd w:val="clear" w:color="auto" w:fill="auto"/>
            <w:tcMar>
              <w:top w:w="0" w:type="dxa"/>
              <w:left w:w="0" w:type="dxa"/>
              <w:bottom w:w="0" w:type="dxa"/>
              <w:right w:w="227" w:type="dxa"/>
            </w:tcMar>
          </w:tcPr>
          <w:p>
            <w:pPr>
              <w:spacing w:lineRule="auto" w:line="288" w:before="240" w:after="240"/>
              <w:rPr>
                <w:rFonts w:ascii="Arial" w:hAnsi="Arial" w:cs="Arial"/>
                <w:color w:val="000000"/>
                <w:sz w:val="20"/>
                <w:szCs w:val="20"/>
              </w:rPr>
            </w:pPr>
            <w:r>
              <w:rPr>
                <w:rFonts w:ascii="Arial" w:hAnsi="Arial" w:cs="Arial"/>
                <w:b w:val="1"/>
                <w:bCs w:val="1"/>
                <w:color w:val="000000"/>
                <w:sz w:val="20"/>
                <w:szCs w:val="20"/>
              </w:rPr>
              <w:t>Über TOTO Europe</w:t>
            </w:r>
          </w:p>
          <w:p>
            <w:pPr>
              <w:spacing w:lineRule="auto" w:line="288" w:before="240" w:after="240"/>
              <w:ind w:left="0" w:right="0"/>
              <w:rPr>
                <w:rFonts w:ascii="Arial" w:hAnsi="Arial" w:cs="Arial"/>
                <w:color w:val="000000"/>
                <w:sz w:val="20"/>
                <w:szCs w:val="20"/>
              </w:rPr>
            </w:pPr>
            <w:r>
              <w:rPr>
                <w:rFonts w:ascii="Arial" w:hAnsi="Arial" w:cs="Arial"/>
                <w:color w:val="000000"/>
                <w:sz w:val="20"/>
                <w:szCs w:val="20"/>
              </w:rPr>
              <w:t xml:space="preserve">TOTO steht für Badkultur auf höchstem Niveau. Design, Komfort und Hygiene greifen so präzise ineinander, dass die raffiniert integrierte Technik fast unsichtbar wird. Als Japans führender Komplettbadanbieter entwickelt TOTO ganzheitliche Lösungen für anspruchsvolle private und öffentliche Räume und ist seit 2009 auch erfolgreich in Europa präsent. TOTO prägt die Badgestaltung mit innovativer Sanitärkeramik, Armaturen und vor allem dem WASHLET, von dem bereits über 70 Millionen weltweit verkauft wurden. Das japanische Designverständnis von TOTO stellt den Menschen und seine Bedürfnisse in den Mittelpunkt. So entstehen Produkte, die vom Respekt für das Gegenüber geprägt sind – zurückhaltend im Design, selbstverständlich in der Nutzung. Diesen Respekt erweist TOTO auch der Umwelt. Mit wassersparenden Technologien trägt TOTO aktiv zur Ressourcenschonung bei und verfolgt seine Nachhaltigkeitsstrategie im Rahmen international anerkannter Initiativen wie der </w:t>
            </w:r>
            <w:hyperlink r:id="R5">
              <w:r>
                <w:rPr>
                  <w:rStyle w:val="C2"/>
                  <w:rFonts w:ascii="Arial" w:hAnsi="Arial" w:cs="Arial"/>
                  <w:color w:val="000000"/>
                  <w:sz w:val="20"/>
                  <w:szCs w:val="20"/>
                </w:rPr>
                <w:t>Climate Group RE100</w:t>
              </w:r>
            </w:hyperlink>
            <w:r>
              <w:rPr>
                <w:rFonts w:ascii="Arial" w:hAnsi="Arial" w:cs="Arial"/>
                <w:color w:val="000000"/>
                <w:sz w:val="20"/>
                <w:szCs w:val="20"/>
              </w:rPr>
              <w:t xml:space="preserve"> und der </w:t>
            </w:r>
            <w:hyperlink r:id="R6">
              <w:r>
                <w:rPr>
                  <w:rStyle w:val="C2"/>
                  <w:rFonts w:ascii="Arial" w:hAnsi="Arial" w:cs="Arial"/>
                  <w:color w:val="000000"/>
                  <w:sz w:val="20"/>
                  <w:szCs w:val="20"/>
                </w:rPr>
                <w:t>Science Based Targets Initiative</w:t>
              </w:r>
            </w:hyperlink>
            <w:r>
              <w:rPr>
                <w:rFonts w:ascii="Arial" w:hAnsi="Arial" w:cs="Arial"/>
                <w:color w:val="000000"/>
                <w:sz w:val="20"/>
                <w:szCs w:val="20"/>
              </w:rPr>
              <w:t>.</w:t>
            </w:r>
          </w:p>
          <w:p>
            <w:pPr>
              <w:spacing w:lineRule="auto" w:line="288"/>
              <w:jc w:val="left"/>
              <w:rPr>
                <w:rFonts w:ascii="Arial" w:hAnsi="Arial" w:cs="Arial"/>
                <w:color w:val="000000"/>
                <w:sz w:val="20"/>
                <w:szCs w:val="20"/>
              </w:rPr>
            </w:pPr>
            <w:r>
              <w:rPr>
                <w:rFonts w:ascii="Arial" w:hAnsi="Arial" w:cs="Arial"/>
                <w:color w:val="000000"/>
                <w:sz w:val="20"/>
                <w:szCs w:val="20"/>
              </w:rPr>
              <w:br w:type="textWrapping"/>
            </w:r>
          </w:p>
        </w:tc>
        <w:tc>
          <w:tcPr>
            <w:tcW w:w="1200" w:type="pct"/>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r>
              <w:rPr>
                <w:rFonts w:ascii="Arial" w:hAnsi="Arial" w:cs="Arial"/>
                <w:color w:val="000000"/>
                <w:sz w:val="20"/>
                <w:szCs w:val="20"/>
              </w:rPr>
              <w:br w:type="textWrapping"/>
            </w:r>
          </w:p>
        </w:tc>
      </w:tr>
      <w:tr>
        <w:tblPrEx>
          <w:tblLook w:val="04A0"/>
        </w:tblPrEx>
        <w:trPr>
          <w:gridAfter w:val="1"/>
        </w:trPr>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p>
        </w:tc>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p>
        </w:tc>
      </w:tr>
    </w:tbl>
    <w:p>
      <w:pPr>
        <w:spacing w:lineRule="auto" w:line="288"/>
        <w:jc w:val="left"/>
      </w:pPr>
    </w:p>
    <w:sectPr>
      <w:headerReference w:type="first" r:id="RelHdr1"/>
      <w:headerReference w:type="default" r:id="RelHdr2"/>
      <w:footerReference w:type="first" r:id="RelFtr1"/>
      <w:footerReference w:type="default" r:id="RelFtr2"/>
      <w:type w:val="nextPage"/>
      <w:pgSz w:w="11906" w:h="16838" w:code="0"/>
      <w:pgMar w:left="1134" w:right="1020" w:top="1701" w:bottom="1701" w:header="850" w:footer="283" w:gutter="0"/>
      <w:titlePg w:val="1"/>
    </w:sectPr>
  </w:body>
</w:document>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CellMar>
        <w:top w:w="0" w:type="dxa"/>
        <w:left w:w="0" w:type="dxa"/>
        <w:bottom w:w="0" w:type="dxa"/>
        <w:right w:w="0" w:type="dxa"/>
      </w:tblCellMar>
      <w:tblLook w:val="04A0"/>
    </w:tblPr>
    <w:tblGrid>
      <w:gridCol w:w="7056"/>
      <w:gridCol w:w="144"/>
    </w:tblGrid>
    <w:tr>
      <w:trPr/>
      <w:tc>
        <w:tcPr>
          <w:tcW w:w="4900" w:type="pct"/>
          <w:tcBorders>
            <w:top w:val="nil"/>
            <w:left w:val="nil"/>
            <w:bottom w:val="nil"/>
            <w:right w:val="nil"/>
          </w:tcBorders>
          <w:shd w:val="clear" w:color="auto" w:fill="auto"/>
          <w:tcMar>
            <w:top w:w="0" w:type="dxa"/>
            <w:left w:w="0" w:type="dxa"/>
            <w:bottom w:w="0" w:type="dxa"/>
            <w:right w:w="0" w:type="dxa"/>
          </w:tcMar>
          <w:vAlign w:val="bottom"/>
        </w:tcPr>
        <w:tbl>
          <w:tblPr>
            <w:tblW w:w="5000" w:type="pct"/>
            <w:tblCellSpacing w:w="0" w:type="dxa"/>
            <w:tblInd w:w="0" w:type="dxa"/>
            <w:tblBorders>
              <w:top w:val="nil" w:sz="0" w:space="0" w:shadow="0" w:frame="0" w:color="000000"/>
              <w:left w:val="nil" w:sz="0" w:space="0" w:shadow="0" w:frame="0" w:color="000000"/>
              <w:bottom w:val="nil" w:sz="0" w:space="0" w:shadow="0" w:frame="0" w:color="000000"/>
              <w:right w:val="nil" w:sz="0" w:space="0" w:shadow="0" w:frame="0" w:color="000000"/>
              <w:insideH w:val="none" w:sz="0" w:space="0" w:shadow="0" w:frame="0" w:color="auto"/>
              <w:insideV w:val="none" w:sz="0" w:space="0" w:shadow="0" w:frame="0" w:color="auto"/>
            </w:tblBorders>
            <w:tblLayout w:type="autofit"/>
            <w:tblCellMar>
              <w:top w:w="0" w:type="dxa"/>
              <w:left w:w="0" w:type="dxa"/>
              <w:bottom w:w="0" w:type="dxa"/>
              <w:right w:w="0" w:type="dxa"/>
            </w:tblCellMar>
          </w:tblPr>
          <w:tblGrid>
            <w:gridCol w:w="35"/>
            <w:gridCol w:w="70"/>
            <w:gridCol w:w="1183"/>
            <w:gridCol w:w="35"/>
            <w:gridCol w:w="70"/>
            <w:gridCol w:w="1202"/>
            <w:gridCol w:w="35"/>
            <w:gridCol w:w="70"/>
            <w:gridCol w:w="1603"/>
            <w:gridCol w:w="35"/>
            <w:gridCol w:w="70"/>
            <w:gridCol w:w="1468"/>
            <w:gridCol w:w="35"/>
            <w:gridCol w:w="70"/>
            <w:gridCol w:w="1191"/>
            <w:gridCol w:w="28"/>
          </w:tblGrid>
          <w:tr>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b w:val="1"/>
                    <w:bCs w:val="1"/>
                    <w:color w:val="000000"/>
                    <w:sz w:val="10"/>
                    <w:szCs w:val="10"/>
                  </w:rPr>
                  <w:t>TOTO Europe GmbH</w:t>
                  <w:br w:type="textWrapping"/>
                </w:r>
                <w:r>
                  <w:rPr>
                    <w:rFonts w:ascii="Arial" w:hAnsi="Arial" w:cs="Arial"/>
                    <w:color w:val="000000"/>
                    <w:sz w:val="10"/>
                    <w:szCs w:val="10"/>
                  </w:rPr>
                  <w:t>Zollhof 2</w:t>
                  <w:br w:type="textWrapping"/>
                  <w:t>40221 Düsseldorf</w:t>
                  <w:br w:type="textWrapping"/>
                  <w:t>Germany</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color w:val="000000"/>
                    <w:sz w:val="10"/>
                    <w:szCs w:val="10"/>
                  </w:rPr>
                  <w:t>T +49 (0)211 2 73 08-200</w:t>
                  <w:br w:type="textWrapping"/>
                  <w:t>F +49 (0)211 2 73 08-202</w:t>
                  <w:br w:type="textWrapping"/>
                  <w:t>teu.info@toto.com</w:t>
                  <w:br w:type="textWrapping"/>
                  <w:t>eu.toto.com</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1150" w:type="pct"/>
                <w:vAlign w:val="center"/>
                <w:hideMark/>
              </w:tcPr>
              <w:p>
                <w:pPr>
                  <w:ind w:left="0" w:right="0"/>
                  <w:rPr>
                    <w:rFonts w:ascii="Arial" w:hAnsi="Arial" w:cs="Arial"/>
                    <w:color w:val="000000"/>
                    <w:sz w:val="10"/>
                    <w:szCs w:val="10"/>
                  </w:rPr>
                </w:pPr>
                <w:r>
                  <w:rPr>
                    <w:rFonts w:ascii="Arial" w:hAnsi="Arial" w:cs="Arial"/>
                    <w:color w:val="000000"/>
                    <w:sz w:val="10"/>
                    <w:szCs w:val="10"/>
                  </w:rPr>
                  <w:t>Commerzbank AG Essen</w:t>
                  <w:br w:type="textWrapping"/>
                  <w:t>BLZ: 360 400 39 . KTO: 150 6211</w:t>
                  <w:br w:type="textWrapping"/>
                  <w:t>IBAN: DE 32 36040039 0150621100</w:t>
                  <w:br w:type="textWrapping"/>
                  <w:t>BIC: COBADEFF360</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1050" w:type="pct"/>
                <w:vAlign w:val="center"/>
                <w:hideMark/>
              </w:tcPr>
              <w:p>
                <w:pPr>
                  <w:ind w:left="0" w:right="0"/>
                  <w:rPr>
                    <w:rFonts w:ascii="Arial" w:hAnsi="Arial" w:cs="Arial"/>
                    <w:color w:val="000000"/>
                    <w:sz w:val="10"/>
                    <w:szCs w:val="10"/>
                  </w:rPr>
                </w:pPr>
                <w:r>
                  <w:rPr>
                    <w:rFonts w:ascii="Arial" w:hAnsi="Arial" w:cs="Arial"/>
                    <w:color w:val="000000"/>
                    <w:sz w:val="10"/>
                    <w:szCs w:val="10"/>
                  </w:rPr>
                  <w:t>AG Düsseldorf . HRB 24827</w:t>
                  <w:br w:type="textWrapping"/>
                  <w:t>Geschäftsführer:</w:t>
                  <w:br w:type="textWrapping"/>
                  <w:t>Tatsuhiko Yasaka</w:t>
                  <w:br w:type="textWrapping"/>
                  <w:t>  </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color w:val="000000"/>
                    <w:sz w:val="10"/>
                    <w:szCs w:val="10"/>
                  </w:rPr>
                  <w:t>WEEE-Reg.-Nr. DE 88787165</w:t>
                  <w:br w:type="textWrapping"/>
                  <w:t>USTID-NR: DE258501442</w:t>
                  <w:br w:type="textWrapping"/>
                  <w:t>ST-NR: 106/5727/1323</w:t>
                  <w:br w:type="textWrapping"/>
                  <w:t>  </w:t>
                </w:r>
              </w:p>
            </w:tc>
            <w:tc>
              <w:tcPr>
                <w:tcW w:w="0" w:type="auto"/>
                <w:vAlign w:val="center"/>
                <w:hideMark/>
              </w:tcPr>
              <w:p>
                <w:pPr>
                  <w:ind w:left="0" w:right="0"/>
                  <w:rPr>
                    <w:rFonts w:ascii="Arial" w:hAnsi="Arial" w:cs="Arial"/>
                    <w:color w:val="000000"/>
                    <w:sz w:val="10"/>
                    <w:szCs w:val="10"/>
                  </w:rPr>
                </w:pPr>
                <w:r>
                  <w:rPr>
                    <w:rFonts w:ascii="Arial" w:hAnsi="Arial" w:cs="Arial"/>
                    <w:color w:val="000000"/>
                    <w:sz w:val="10"/>
                    <w:szCs w:val="10"/>
                  </w:rPr>
                  <w:t> </w:t>
                </w:r>
              </w:p>
            </w:tc>
          </w:tr>
        </w:tbl>
        <w:p>
          <w:pPr>
            <w:rPr>
              <w:rFonts w:ascii="Arial" w:hAnsi="Arial" w:cs="Arial"/>
              <w:color w:val="000000"/>
              <w:sz w:val="10"/>
              <w:szCs w:val="10"/>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0"/>
              <w:szCs w:val="10"/>
            </w:rPr>
          </w:pPr>
        </w:p>
      </w:tc>
    </w:tr>
  </w:tbl>
  <w:p>
    <w:pPr>
      <w:rPr>
        <w:rFonts w:ascii="Arial" w:hAnsi="Arial" w:cs="Arial"/>
        <w:color w:val="000000"/>
        <w:sz w:val="2"/>
        <w:szCs w:val="2"/>
      </w:rPr>
    </w:pPr>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056"/>
      <w:gridCol w:w="144"/>
    </w:tblGrid>
    <w:tr>
      <w:trPr/>
      <w:tc>
        <w:tcPr>
          <w:tcW w:w="4900" w:type="pct"/>
          <w:tcBorders>
            <w:top w:val="nil"/>
            <w:left w:val="nil"/>
            <w:bottom w:val="nil"/>
            <w:right w:val="nil"/>
          </w:tcBorders>
          <w:shd w:val="clear" w:color="auto" w:fill="auto"/>
          <w:tcMar>
            <w:top w:w="0" w:type="dxa"/>
            <w:left w:w="0" w:type="dxa"/>
            <w:bottom w:w="0" w:type="dxa"/>
            <w:right w:w="0" w:type="dxa"/>
          </w:tcMar>
          <w:vAlign w:val="bottom"/>
        </w:tcPr>
        <w:tbl>
          <w:tblPr>
            <w:tblW w:w="5000" w:type="pct"/>
            <w:tblCellSpacing w:w="0" w:type="dxa"/>
            <w:tblInd w:w="0" w:type="dxa"/>
            <w:tblBorders>
              <w:top w:val="nil" w:sz="0" w:space="0" w:shadow="0" w:frame="0" w:color="000000"/>
              <w:left w:val="nil" w:sz="0" w:space="0" w:shadow="0" w:frame="0" w:color="000000"/>
              <w:bottom w:val="nil" w:sz="0" w:space="0" w:shadow="0" w:frame="0" w:color="000000"/>
              <w:right w:val="nil" w:sz="0" w:space="0" w:shadow="0" w:frame="0" w:color="000000"/>
              <w:insideH w:val="none" w:sz="0" w:space="0" w:shadow="0" w:frame="0" w:color="auto"/>
              <w:insideV w:val="none" w:sz="0" w:space="0" w:shadow="0" w:frame="0" w:color="auto"/>
            </w:tblBorders>
            <w:tblLayout w:type="autofit"/>
            <w:tblCellMar>
              <w:top w:w="0" w:type="dxa"/>
              <w:left w:w="0" w:type="dxa"/>
              <w:bottom w:w="0" w:type="dxa"/>
              <w:right w:w="0" w:type="dxa"/>
            </w:tblCellMar>
          </w:tblPr>
          <w:tblGrid>
            <w:gridCol w:w="35"/>
            <w:gridCol w:w="70"/>
            <w:gridCol w:w="1183"/>
            <w:gridCol w:w="35"/>
            <w:gridCol w:w="70"/>
            <w:gridCol w:w="1202"/>
            <w:gridCol w:w="35"/>
            <w:gridCol w:w="70"/>
            <w:gridCol w:w="1603"/>
            <w:gridCol w:w="35"/>
            <w:gridCol w:w="70"/>
            <w:gridCol w:w="1468"/>
            <w:gridCol w:w="35"/>
            <w:gridCol w:w="70"/>
            <w:gridCol w:w="1191"/>
            <w:gridCol w:w="28"/>
          </w:tblGrid>
          <w:tr>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b w:val="1"/>
                    <w:bCs w:val="1"/>
                    <w:color w:val="000000"/>
                    <w:sz w:val="10"/>
                    <w:szCs w:val="10"/>
                  </w:rPr>
                  <w:t>TOTO Europe GmbH</w:t>
                  <w:br w:type="textWrapping"/>
                </w:r>
                <w:r>
                  <w:rPr>
                    <w:rFonts w:ascii="Arial" w:hAnsi="Arial" w:cs="Arial"/>
                    <w:color w:val="000000"/>
                    <w:sz w:val="10"/>
                    <w:szCs w:val="10"/>
                  </w:rPr>
                  <w:t>Zollhof 2</w:t>
                  <w:br w:type="textWrapping"/>
                  <w:t>40221 Düsseldorf</w:t>
                  <w:br w:type="textWrapping"/>
                  <w:t>Germany</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color w:val="000000"/>
                    <w:sz w:val="10"/>
                    <w:szCs w:val="10"/>
                  </w:rPr>
                  <w:t>T +49 (0)211 2 73 08-200</w:t>
                  <w:br w:type="textWrapping"/>
                  <w:t>F +49 (0)211 2 73 08-202</w:t>
                  <w:br w:type="textWrapping"/>
                  <w:t>teu.info@toto.com</w:t>
                  <w:br w:type="textWrapping"/>
                  <w:t>eu.toto.com</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1150" w:type="pct"/>
                <w:vAlign w:val="center"/>
                <w:hideMark/>
              </w:tcPr>
              <w:p>
                <w:pPr>
                  <w:ind w:left="0" w:right="0"/>
                  <w:rPr>
                    <w:rFonts w:ascii="Arial" w:hAnsi="Arial" w:cs="Arial"/>
                    <w:color w:val="000000"/>
                    <w:sz w:val="10"/>
                    <w:szCs w:val="10"/>
                  </w:rPr>
                </w:pPr>
                <w:r>
                  <w:rPr>
                    <w:rFonts w:ascii="Arial" w:hAnsi="Arial" w:cs="Arial"/>
                    <w:color w:val="000000"/>
                    <w:sz w:val="10"/>
                    <w:szCs w:val="10"/>
                  </w:rPr>
                  <w:t>Commerzbank AG Essen</w:t>
                  <w:br w:type="textWrapping"/>
                  <w:t>BLZ: 360 400 39 . KTO: 150 6211</w:t>
                  <w:br w:type="textWrapping"/>
                  <w:t>IBAN: DE 32 36040039 0150621100</w:t>
                  <w:br w:type="textWrapping"/>
                  <w:t>BIC: COBADEFF360</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1050" w:type="pct"/>
                <w:vAlign w:val="center"/>
                <w:hideMark/>
              </w:tcPr>
              <w:p>
                <w:pPr>
                  <w:ind w:left="0" w:right="0"/>
                  <w:rPr>
                    <w:rFonts w:ascii="Arial" w:hAnsi="Arial" w:cs="Arial"/>
                    <w:color w:val="000000"/>
                    <w:sz w:val="10"/>
                    <w:szCs w:val="10"/>
                  </w:rPr>
                </w:pPr>
                <w:r>
                  <w:rPr>
                    <w:rFonts w:ascii="Arial" w:hAnsi="Arial" w:cs="Arial"/>
                    <w:color w:val="000000"/>
                    <w:sz w:val="10"/>
                    <w:szCs w:val="10"/>
                  </w:rPr>
                  <w:t>AG Düsseldorf . HRB 24827</w:t>
                  <w:br w:type="textWrapping"/>
                  <w:t>Geschäftsführer:</w:t>
                  <w:br w:type="textWrapping"/>
                  <w:t>Tatsuhiko Yasaka</w:t>
                  <w:br w:type="textWrapping"/>
                  <w:t>  </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color w:val="000000"/>
                    <w:sz w:val="10"/>
                    <w:szCs w:val="10"/>
                  </w:rPr>
                  <w:t>WEEE-Reg.-Nr. DE 88787165</w:t>
                  <w:br w:type="textWrapping"/>
                  <w:t>USTID-NR: DE258501442</w:t>
                  <w:br w:type="textWrapping"/>
                  <w:t>ST-NR: 106/5727/1323</w:t>
                  <w:br w:type="textWrapping"/>
                  <w:t>  </w:t>
                </w:r>
              </w:p>
            </w:tc>
            <w:tc>
              <w:tcPr>
                <w:tcW w:w="0" w:type="auto"/>
                <w:vAlign w:val="center"/>
                <w:hideMark/>
              </w:tcPr>
              <w:p>
                <w:pPr>
                  <w:ind w:left="0" w:right="0"/>
                  <w:rPr>
                    <w:rFonts w:ascii="Arial" w:hAnsi="Arial" w:cs="Arial"/>
                    <w:color w:val="000000"/>
                    <w:sz w:val="10"/>
                    <w:szCs w:val="10"/>
                  </w:rPr>
                </w:pPr>
                <w:r>
                  <w:rPr>
                    <w:rFonts w:ascii="Arial" w:hAnsi="Arial" w:cs="Arial"/>
                    <w:color w:val="000000"/>
                    <w:sz w:val="10"/>
                    <w:szCs w:val="10"/>
                  </w:rPr>
                  <w:t> </w:t>
                </w:r>
              </w:p>
            </w:tc>
          </w:tr>
        </w:tbl>
        <w:p>
          <w:pPr>
            <w:rPr>
              <w:rFonts w:ascii="Arial" w:hAnsi="Arial" w:cs="Arial"/>
              <w:color w:val="000000"/>
              <w:sz w:val="10"/>
              <w:szCs w:val="10"/>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0"/>
              <w:szCs w:val="10"/>
            </w:rPr>
          </w:pPr>
          <w:r>
            <w:rPr>
              <w:rFonts w:ascii="Arial" w:hAnsi="Arial" w:cs="Arial"/>
              <w:color w:val="000000"/>
              <w:sz w:val="10"/>
              <w:szCs w:val="10"/>
            </w:rPr>
            <w:fldChar w:fldCharType="begin"/>
          </w:r>
          <w:r>
            <w:rPr>
              <w:rFonts w:ascii="Arial" w:hAnsi="Arial" w:cs="Arial"/>
              <w:color w:val="000000"/>
              <w:sz w:val="10"/>
              <w:szCs w:val="10"/>
            </w:rPr>
            <w:instrText>PAGE \* ARABIC</w:instrText>
          </w:r>
          <w:r>
            <w:rPr>
              <w:rFonts w:ascii="Arial" w:hAnsi="Arial" w:cs="Arial"/>
              <w:color w:val="000000"/>
              <w:sz w:val="10"/>
              <w:szCs w:val="10"/>
            </w:rPr>
            <w:fldChar w:fldCharType="separate"/>
          </w:r>
          <w:r>
            <w:rPr>
              <w:rFonts w:ascii="Arial" w:hAnsi="Arial" w:cs="Arial"/>
              <w:color w:val="000000"/>
              <w:sz w:val="10"/>
              <w:szCs w:val="10"/>
            </w:rPr>
            <w:t>#</w:t>
          </w:r>
          <w:r>
            <w:rPr>
              <w:rFonts w:ascii="Arial" w:hAnsi="Arial" w:cs="Arial"/>
              <w:color w:val="000000"/>
              <w:sz w:val="10"/>
              <w:szCs w:val="10"/>
            </w:rPr>
            <w:fldChar w:fldCharType="end"/>
          </w:r>
        </w:p>
      </w:tc>
    </w:tr>
  </w:tbl>
  <w:p>
    <w:pPr>
      <w:rPr>
        <w:rFonts w:ascii="Arial" w:hAnsi="Arial" w:cs="Arial"/>
        <w:color w:val="000000"/>
        <w:sz w:val="2"/>
        <w:szCs w:val="2"/>
      </w:rPr>
    </w:pPr>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pPr>
      <w:rPr>
        <w:color w:val="343434"/>
      </w:rPr>
    </w:pPr>
    <w:r>
      <w:rPr>
        <w:color w:val="343434"/>
      </w:rPr>
      <w:drawing>
        <wp:anchor xmlns:wp="http://schemas.openxmlformats.org/drawingml/2006/wordprocessingDrawing" distT="0" distB="0" distL="114300" distR="114300" simplePos="0" relativeHeight="0" behindDoc="0" locked="0" layoutInCell="0" allowOverlap="0">
          <wp:simplePos x="0" y="0"/>
          <wp:positionH relativeFrom="page">
            <wp:posOffset>5544185</wp:posOffset>
          </wp:positionH>
          <wp:positionV relativeFrom="page">
            <wp:posOffset>396240</wp:posOffset>
          </wp:positionV>
          <wp:extent cx="1368425" cy="31813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5"/>
                  <a:srcRect/>
                  <a:stretch>
                    <a:fillRect/>
                  </a:stretch>
                </pic:blipFill>
                <pic:spPr>
                  <a:xfrm>
                    <a:off x="0" y="0"/>
                    <a:ext cx="1368425" cy="318135"/>
                  </a:xfrm>
                  <a:prstGeom prst="rect"/>
                </pic:spPr>
              </pic:pic>
            </a:graphicData>
          </a:graphic>
        </wp:anchor>
      </w:drawing>
    </w:r>
    <w:r>
      <w:rPr>
        <w:rFonts w:ascii="arial" w:hAnsi="arial" w:cs="arial" w:eastAsia="arial"/>
        <w:b w:val="1"/>
        <w:bCs w:val="1"/>
        <w:color w:val="343434"/>
        <w:sz w:val="24"/>
        <w:szCs w:val="24"/>
      </w:rPr>
      <w:t>Presse Information</w: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114300" distR="114300" simplePos="0" relativeHeight="0" behindDoc="0" locked="0" layoutInCell="0" allowOverlap="0">
          <wp:simplePos x="0" y="0"/>
          <wp:positionH relativeFrom="page">
            <wp:posOffset>5723890</wp:posOffset>
          </wp:positionH>
          <wp:positionV relativeFrom="page">
            <wp:posOffset>396240</wp:posOffset>
          </wp:positionV>
          <wp:extent cx="1368425" cy="31813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6"/>
                  <a:srcRect/>
                  <a:stretch>
                    <a:fillRect/>
                  </a:stretch>
                </pic:blipFill>
                <pic:spPr>
                  <a:xfrm>
                    <a:off x="0" y="0"/>
                    <a:ext cx="1368425" cy="318135"/>
                  </a:xfrm>
                  <a:prstGeom prst="rect"/>
                </pic:spPr>
              </pic:pic>
            </a:graphicData>
          </a:graphic>
        </wp:anchor>
      </w:drawing>
    </w:r>
    <w:r>
      <w:rPr>
        <w:rFonts w:ascii="arial" w:hAnsi="arial" w:cs="arial" w:eastAsia="arial"/>
        <w:b w:val="1"/>
        <w:bCs w:val="1"/>
        <w:sz w:val="24"/>
        <w:szCs w:val="24"/>
      </w:rPr>
      <w:t>Presse Information</w: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Arial" w:hAnsi="Arial" w:cs="Arial" w:eastAsiaTheme="minorEastAsia"/>
        <w:color w:val="000000"/>
        <w:sz w:val="22"/>
        <w:szCs w:val="22"/>
      </w:rPr>
    </w:rPrDefault>
    <w:pPrDefault>
      <w:pPr>
        <w:keepNext w:val="0"/>
        <w:keepLines w:val="0"/>
        <w:pageBreakBefore w:val="0"/>
        <w:widowControl w:val="1"/>
        <w:suppressLineNumbers w:val="0"/>
        <w:shd w:val="clear" w:fill="auto"/>
        <w:suppressAutoHyphens w:val="0"/>
        <w:spacing w:lineRule="auto" w:line="288"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jpg" /><Relationship Id="Relimage2" Type="http://schemas.openxmlformats.org/officeDocument/2006/relationships/image" Target="/media/image2.jpg" /><Relationship Id="Relimage3" Type="http://schemas.openxmlformats.org/officeDocument/2006/relationships/image" Target="/media/image3.jpg" /><Relationship Id="Relimage4" Type="http://schemas.openxmlformats.org/officeDocument/2006/relationships/image" Target="/media/image4.jpg" /><Relationship Id="R2" Type="http://schemas.openxmlformats.org/officeDocument/2006/relationships/hyperlink" Target="https://eu.toto.com/de/service/dusch-wc-ratgeber" TargetMode="External" /><Relationship Id="R3" Type="http://schemas.openxmlformats.org/officeDocument/2006/relationships/hyperlink" Target="https://eu.toto.com/de/service/dusch-wc-ratgeber" TargetMode="External" /><Relationship Id="R4" Type="http://schemas.openxmlformats.org/officeDocument/2006/relationships/hyperlink" Target="https://eu.toto.com/de" TargetMode="External" /><Relationship Id="R5" Type="http://schemas.openxmlformats.org/officeDocument/2006/relationships/hyperlink" Target="https://www.there100.org/" TargetMode="External" /><Relationship Id="R6" Type="http://schemas.openxmlformats.org/officeDocument/2006/relationships/hyperlink" Target="https://sciencebasedtargets.org/" TargetMode="External"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header1.xml.rels>&#65279;<?xml version="1.0" encoding="utf-8"?><Relationships xmlns="http://schemas.openxmlformats.org/package/2006/relationships"><Relationship Id="Relimage5" Type="http://schemas.openxmlformats.org/officeDocument/2006/relationships/image" Target="/media/image5.jpg" /></Relationships>
</file>

<file path=word/_rels/header2.xml.rels>&#65279;<?xml version="1.0" encoding="utf-8"?><Relationships xmlns="http://schemas.openxmlformats.org/package/2006/relationships"><Relationship Id="Relimage6" Type="http://schemas.openxmlformats.org/officeDocument/2006/relationships/image" Target="/media/image6.jp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API/25.1.11.0</Application>
  <AppVersion>25.1</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2026-07-13T11:54:22Z</dcterms:created>
  <dcterms:modified xsi:type="dcterms:W3CDTF">2026-07-13T11:54:22Z</dcterms:modified>
  <cp:revision>1</cp:revision>
</cp:coreProperties>
</file>